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29.04.24</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Heading3"/>
        <w:bidi w:val="0"/>
        <w:jc w:val="start"/>
        <w:rPr/>
      </w:pPr>
      <w:r>
        <w:rPr/>
        <w:t xml:space="preserve">Ökumenischer Motorradgottesdienst in Schweinfurt – St. Michael am 5.5.2024 10 Uhr </w:t>
      </w:r>
    </w:p>
    <w:p>
      <w:pPr>
        <w:pStyle w:val="BodyText"/>
        <w:bidi w:val="0"/>
        <w:jc w:val="start"/>
        <w:rPr/>
      </w:pPr>
      <w:r>
        <w:rPr/>
      </w:r>
    </w:p>
    <w:p>
      <w:pPr>
        <w:pStyle w:val="Normal"/>
        <w:tabs>
          <w:tab w:val="clear" w:pos="1134"/>
          <w:tab w:val="left" w:pos="6413" w:leader="none"/>
        </w:tabs>
        <w:bidi w:val="0"/>
        <w:jc w:val="start"/>
        <w:rPr/>
      </w:pPr>
      <w:r>
        <w:rPr>
          <w:b/>
          <w:bCs/>
        </w:rPr>
        <w:t>Schweinfurt.</w:t>
      </w:r>
      <w:r>
        <w:rPr/>
        <w:t xml:space="preserve"> Zum zweiten Mal </w:t>
      </w:r>
      <w:r>
        <w:rPr/>
        <w:t>findet der</w:t>
      </w:r>
      <w:r>
        <w:rPr/>
        <w:t xml:space="preserve"> </w:t>
      </w:r>
      <w:r>
        <w:rPr/>
        <w:t xml:space="preserve">Schweinfurter </w:t>
      </w:r>
      <w:r>
        <w:rPr/>
        <w:t xml:space="preserve">Motorradgottesdienst wieder an seinem Ursprungsort in St. Michael Schweinfurt </w:t>
      </w:r>
      <w:r>
        <w:rPr/>
        <w:t>statt</w:t>
      </w:r>
      <w:r>
        <w:rPr/>
        <w:t xml:space="preserve">, wo alles vor Jahrzehnten begann. </w:t>
      </w:r>
      <w:r>
        <w:rPr/>
        <w:t xml:space="preserve">Pastoralassistent </w:t>
      </w:r>
      <w:r>
        <w:rPr/>
        <w:t xml:space="preserve">Gabriel Abb und </w:t>
      </w:r>
      <w:r>
        <w:rPr/>
        <w:t xml:space="preserve">Pfarrer </w:t>
      </w:r>
      <w:r>
        <w:rPr/>
        <w:t>Heiko Kuschel laden gemeinsam ein zum ökumenischen Gottesdienst unter dem Titel „Bodenhaftung“.</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Was hilft mir, auf dem Bike wie im im Leben, den Kontakt nicht zu verlieren? Was hilft mir, nicht abzurutschen und im Graben zu landen? Was ist mein persönliches Profil, das mich erdet und mir Sicherheit gibt?</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Gott ist nicht nur „irgendwo da oben“. Gott ist auch ganz unten, am Boden. Mit seinem Segen will er dabei sein, dir Sicherheit geben, wenn‘s rutschig wird im Leben.</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 xml:space="preserve">Diesen Segen </w:t>
      </w:r>
      <w:r>
        <w:rPr/>
        <w:t>können die Teilnehmerinnen und Teilnehmer spüren</w:t>
      </w:r>
      <w:r>
        <w:rPr/>
        <w:t xml:space="preserve"> - im Gottesdienst und anschließend, wenn </w:t>
      </w:r>
      <w:r>
        <w:rPr/>
        <w:t>sie persönlich den Segen zugesprochen bekommen.</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Für Musik sorgt wieder die Band Funtasy aus St. Michael.</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Parken direkt vor der Kirche und auf dem nahen Volksfestplatz, wo dann auch die Segnung stattfinden wird.</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www.motorradgottesdienst-schweinfurt.de</w:t>
        <w:br/>
        <w:t xml:space="preserve"> </w:t>
      </w:r>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Annotation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2</TotalTime>
  <Application>LibreOffice/7.6.4.1$Windows_X86_64 LibreOffice_project/e19e193f88cd6c0525a17fb7a176ed8e6a3e2aa1</Application>
  <AppVersion>15.0000</AppVersion>
  <Pages>1</Pages>
  <Words>191</Words>
  <Characters>1217</Characters>
  <CharactersWithSpaces>1397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2024-04-29T18:11:24Z</dcterms:created>
  <dc:creator>Heiko Kuschel</dc:creator>
  <dc:description/>
  <dc:language>de-DE</dc:language>
  <cp:lastModifiedBy>Heiko Kuschel</cp:lastModifiedBy>
  <dcterms:modified xsi:type="dcterms:W3CDTF">2024-04-29T18:14:19Z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